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2F8B0" w14:textId="77777777" w:rsidR="00754E0D" w:rsidRPr="00754E0D" w:rsidRDefault="00754E0D" w:rsidP="00754E0D">
      <w:pPr>
        <w:pStyle w:val="Heading1"/>
        <w:shd w:val="clear" w:color="auto" w:fill="FFFFFF"/>
        <w:spacing w:before="120" w:after="120" w:line="720" w:lineRule="atLeast"/>
        <w:rPr>
          <w:rFonts w:ascii="Arial" w:eastAsia="Times New Roman" w:hAnsi="Arial" w:cs="Arial"/>
          <w:b/>
          <w:color w:val="auto"/>
          <w:spacing w:val="-15"/>
          <w:kern w:val="36"/>
          <w:sz w:val="22"/>
          <w:szCs w:val="22"/>
          <w14:ligatures w14:val="none"/>
        </w:rPr>
      </w:pPr>
      <w:r w:rsidRPr="00754E0D">
        <w:rPr>
          <w:rFonts w:ascii="Arial" w:hAnsi="Arial" w:cs="Arial"/>
          <w:b/>
          <w:color w:val="auto"/>
          <w:sz w:val="22"/>
          <w:szCs w:val="22"/>
        </w:rPr>
        <w:t xml:space="preserve">Checklist: </w:t>
      </w:r>
      <w:r w:rsidRPr="00754E0D">
        <w:rPr>
          <w:rFonts w:ascii="Arial" w:eastAsia="Times New Roman" w:hAnsi="Arial" w:cs="Arial"/>
          <w:b/>
          <w:color w:val="auto"/>
          <w:spacing w:val="-15"/>
          <w:kern w:val="36"/>
          <w:sz w:val="22"/>
          <w:szCs w:val="22"/>
          <w14:ligatures w14:val="none"/>
        </w:rPr>
        <w:t>LGBTQ+ Anti-Bias and Title VII Compliance</w:t>
      </w:r>
    </w:p>
    <w:p w14:paraId="66DD7190" w14:textId="0D8B82A2" w:rsidR="00754E0D" w:rsidRPr="00754E0D" w:rsidRDefault="00754E0D" w:rsidP="00754E0D">
      <w:pPr>
        <w:rPr>
          <w:rFonts w:ascii="Arial" w:hAnsi="Arial" w:cs="Arial"/>
          <w:b/>
        </w:rPr>
      </w:pPr>
    </w:p>
    <w:p w14:paraId="585A7DFF" w14:textId="77777777" w:rsidR="00754E0D" w:rsidRPr="00754E0D" w:rsidRDefault="00754E0D" w:rsidP="00754E0D">
      <w:pPr>
        <w:rPr>
          <w:rFonts w:ascii="Arial" w:hAnsi="Arial" w:cs="Arial"/>
          <w:b/>
        </w:rPr>
      </w:pPr>
    </w:p>
    <w:p w14:paraId="22A093ED" w14:textId="77777777" w:rsidR="00754E0D" w:rsidRPr="00754E0D" w:rsidRDefault="00754E0D" w:rsidP="00754E0D">
      <w:pPr>
        <w:rPr>
          <w:rFonts w:ascii="Arial" w:hAnsi="Arial" w:cs="Arial"/>
          <w:b/>
        </w:rPr>
      </w:pPr>
      <w:r w:rsidRPr="00754E0D">
        <w:rPr>
          <w:rFonts w:ascii="Arial" w:hAnsi="Arial" w:cs="Arial"/>
          <w:b/>
        </w:rPr>
        <w:t>Policies/Procedures/Processes</w:t>
      </w:r>
    </w:p>
    <w:p w14:paraId="69B0103D" w14:textId="77777777" w:rsidR="00754E0D" w:rsidRPr="00754E0D" w:rsidRDefault="00754E0D" w:rsidP="00754E0D">
      <w:pPr>
        <w:shd w:val="clear" w:color="auto" w:fill="FFFFFF"/>
        <w:spacing w:line="240" w:lineRule="auto"/>
        <w:rPr>
          <w:rFonts w:ascii="ProximaNova" w:eastAsia="Times New Roman" w:hAnsi="ProximaNova" w:cs="Times New Roman"/>
          <w:color w:val="222222"/>
          <w:kern w:val="0"/>
          <w14:ligatures w14:val="none"/>
        </w:rPr>
      </w:pPr>
    </w:p>
    <w:p w14:paraId="1F430B39" w14:textId="77777777" w:rsidR="00754E0D" w:rsidRPr="00754E0D" w:rsidRDefault="00754E0D" w:rsidP="00754E0D">
      <w:pPr>
        <w:shd w:val="clear" w:color="auto" w:fill="FFFFFF"/>
        <w:spacing w:line="240" w:lineRule="auto"/>
        <w:rPr>
          <w:rFonts w:ascii="ProximaNova" w:eastAsia="Times New Roman" w:hAnsi="ProximaNova" w:cs="Times New Roman"/>
          <w:color w:val="222222"/>
          <w:kern w:val="0"/>
          <w14:ligatures w14:val="none"/>
        </w:rPr>
      </w:pPr>
    </w:p>
    <w:p w14:paraId="46E4C2F6" w14:textId="726385BE" w:rsidR="00754E0D" w:rsidRPr="00754E0D" w:rsidRDefault="00754E0D" w:rsidP="00754E0D">
      <w:pPr>
        <w:shd w:val="clear" w:color="auto" w:fill="FFFFFF"/>
        <w:spacing w:line="276" w:lineRule="auto"/>
        <w:rPr>
          <w:rFonts w:ascii="Arial" w:eastAsia="Times New Roman" w:hAnsi="Arial" w:cs="Arial"/>
          <w:color w:val="222222"/>
          <w:kern w:val="0"/>
          <w14:ligatures w14:val="none"/>
        </w:rPr>
      </w:pPr>
      <w:r w:rsidRPr="00754E0D">
        <w:rPr>
          <w:rFonts w:ascii="Arial" w:eastAsia="Times New Roman" w:hAnsi="Arial" w:cs="Arial"/>
          <w:color w:val="222222"/>
          <w:kern w:val="0"/>
          <w14:ligatures w14:val="none"/>
        </w:rPr>
        <w:t>A landmark </w:t>
      </w:r>
      <w:r w:rsidRPr="00754E0D">
        <w:rPr>
          <w:rFonts w:ascii="Arial" w:eastAsia="Times New Roman" w:hAnsi="Arial" w:cs="Arial"/>
          <w:kern w:val="0"/>
          <w14:ligatures w14:val="none"/>
        </w:rPr>
        <w:t>decision by the U.S. Supreme Court </w:t>
      </w:r>
      <w:r w:rsidRPr="00754E0D">
        <w:rPr>
          <w:rFonts w:ascii="Arial" w:eastAsia="Times New Roman" w:hAnsi="Arial" w:cs="Arial"/>
          <w:color w:val="222222"/>
          <w:kern w:val="0"/>
          <w14:ligatures w14:val="none"/>
        </w:rPr>
        <w:t>on June 15, 2020, held that an employer that "fires an individual merely for being gay or transgender violates Title VII of the Civil Rights Act of 1964."</w:t>
      </w:r>
      <w:r>
        <w:rPr>
          <w:rFonts w:ascii="Arial" w:eastAsia="Times New Roman" w:hAnsi="Arial" w:cs="Arial"/>
          <w:color w:val="222222"/>
          <w:kern w:val="0"/>
          <w14:ligatures w14:val="none"/>
        </w:rPr>
        <w:t xml:space="preserve">  </w:t>
      </w:r>
      <w:r w:rsidRPr="00754E0D">
        <w:rPr>
          <w:rFonts w:ascii="Arial" w:eastAsia="Times New Roman" w:hAnsi="Arial" w:cs="Arial"/>
          <w:color w:val="222222"/>
          <w:kern w:val="0"/>
          <w14:ligatures w14:val="none"/>
        </w:rPr>
        <w:t>In light of this ruling, employers that do not already prohibit discrimination based on sexual orientation and gender identity will need to update their policies immediately.</w:t>
      </w:r>
    </w:p>
    <w:p w14:paraId="51183A6C" w14:textId="77777777" w:rsidR="00754E0D" w:rsidRPr="00754E0D" w:rsidRDefault="00754E0D" w:rsidP="00754E0D">
      <w:pPr>
        <w:shd w:val="clear" w:color="auto" w:fill="FFFFFF"/>
        <w:spacing w:after="240" w:line="276" w:lineRule="auto"/>
        <w:rPr>
          <w:rFonts w:ascii="Arial" w:eastAsia="Times New Roman" w:hAnsi="Arial" w:cs="Arial"/>
          <w:color w:val="222222"/>
          <w:kern w:val="0"/>
          <w14:ligatures w14:val="none"/>
        </w:rPr>
      </w:pPr>
      <w:r w:rsidRPr="00754E0D">
        <w:rPr>
          <w:rFonts w:ascii="Arial" w:eastAsia="Times New Roman" w:hAnsi="Arial" w:cs="Arial"/>
          <w:color w:val="222222"/>
          <w:kern w:val="0"/>
          <w14:ligatures w14:val="none"/>
        </w:rPr>
        <w:t>The ruling prohibits employers from making adverse employment decisions, such as firing or refusing to hire an individual because they are gay or transgender. It does not address "bathrooms, locker rooms, or anything else of the kind," so more litigation invoking Title VII protections based on sex is expected. Employers will be wise to prepare for and make changes to policies and practices that could find them on the wrong side of the law.</w:t>
      </w:r>
    </w:p>
    <w:p w14:paraId="1987310B" w14:textId="288B2984" w:rsidR="00754E0D" w:rsidRPr="00754E0D" w:rsidRDefault="00754E0D" w:rsidP="00754E0D">
      <w:pPr>
        <w:shd w:val="clear" w:color="auto" w:fill="FFFFFF"/>
        <w:spacing w:after="100" w:afterAutospacing="1" w:line="600" w:lineRule="atLeast"/>
        <w:outlineLvl w:val="1"/>
        <w:rPr>
          <w:rFonts w:ascii="Arial" w:eastAsia="Times New Roman" w:hAnsi="Arial" w:cs="Arial"/>
          <w:b/>
          <w:bCs/>
          <w:color w:val="222222"/>
          <w:kern w:val="0"/>
          <w14:ligatures w14:val="none"/>
        </w:rPr>
      </w:pPr>
      <w:r w:rsidRPr="00754E0D">
        <w:rPr>
          <w:rFonts w:ascii="Arial" w:eastAsia="Times New Roman" w:hAnsi="Arial" w:cs="Arial"/>
          <w:b/>
          <w:bCs/>
          <w:color w:val="222222"/>
          <w:kern w:val="0"/>
          <w14:ligatures w14:val="none"/>
        </w:rPr>
        <w:t>Update</w:t>
      </w:r>
    </w:p>
    <w:p w14:paraId="72712293" w14:textId="77777777" w:rsidR="00754E0D" w:rsidRPr="00754E0D" w:rsidRDefault="00754E0D" w:rsidP="00754E0D">
      <w:pPr>
        <w:shd w:val="clear" w:color="auto" w:fill="FFFFFF"/>
        <w:spacing w:after="240" w:line="240" w:lineRule="auto"/>
        <w:rPr>
          <w:rFonts w:ascii="Arial" w:eastAsia="Times New Roman" w:hAnsi="Arial" w:cs="Arial"/>
          <w:color w:val="222222"/>
          <w:kern w:val="0"/>
          <w14:ligatures w14:val="none"/>
        </w:rPr>
      </w:pPr>
      <w:r w:rsidRPr="00754E0D">
        <w:rPr>
          <w:rFonts w:ascii="Arial" w:eastAsia="Times New Roman" w:hAnsi="Arial" w:cs="Arial"/>
          <w:color w:val="222222"/>
          <w:kern w:val="0"/>
          <w14:ligatures w14:val="none"/>
        </w:rPr>
        <w:t>Include "sexual orientation and gender identity or expression" as a protected class, or include them in the definition of "sex" in:</w:t>
      </w:r>
    </w:p>
    <w:p w14:paraId="7948485A" w14:textId="77777777" w:rsidR="00754E0D" w:rsidRPr="00754E0D" w:rsidRDefault="00754E0D" w:rsidP="00754E0D">
      <w:pPr>
        <w:numPr>
          <w:ilvl w:val="0"/>
          <w:numId w:val="1"/>
        </w:numPr>
        <w:shd w:val="clear" w:color="auto" w:fill="FFFFFF"/>
        <w:spacing w:before="100" w:beforeAutospacing="1" w:after="120" w:line="240" w:lineRule="auto"/>
        <w:rPr>
          <w:rFonts w:ascii="Arial" w:eastAsia="Times New Roman" w:hAnsi="Arial" w:cs="Arial"/>
          <w:color w:val="222222"/>
          <w:kern w:val="0"/>
          <w14:ligatures w14:val="none"/>
        </w:rPr>
      </w:pPr>
      <w:r w:rsidRPr="00754E0D">
        <w:rPr>
          <w:rFonts w:ascii="Arial" w:eastAsia="Times New Roman" w:hAnsi="Arial" w:cs="Arial"/>
          <w:b/>
          <w:bCs/>
          <w:color w:val="222222"/>
          <w:kern w:val="0"/>
          <w14:ligatures w14:val="none"/>
        </w:rPr>
        <w:t>The employee handbook</w:t>
      </w:r>
      <w:r w:rsidRPr="00754E0D">
        <w:rPr>
          <w:rFonts w:ascii="Arial" w:eastAsia="Times New Roman" w:hAnsi="Arial" w:cs="Arial"/>
          <w:color w:val="222222"/>
          <w:kern w:val="0"/>
          <w14:ligatures w14:val="none"/>
        </w:rPr>
        <w:t>—such as in equal opportunity and anti-harassment statements, or anywhere prohibitions against discrimination based upon sex appearance.</w:t>
      </w:r>
    </w:p>
    <w:p w14:paraId="650C94B6" w14:textId="22350A11" w:rsidR="00754E0D" w:rsidRPr="00754E0D" w:rsidRDefault="00754E0D" w:rsidP="00754E0D">
      <w:pPr>
        <w:numPr>
          <w:ilvl w:val="0"/>
          <w:numId w:val="1"/>
        </w:numPr>
        <w:shd w:val="clear" w:color="auto" w:fill="FFFFFF"/>
        <w:spacing w:before="100" w:beforeAutospacing="1" w:after="120" w:line="240" w:lineRule="auto"/>
        <w:rPr>
          <w:rFonts w:ascii="Arial" w:eastAsia="Times New Roman" w:hAnsi="Arial" w:cs="Arial"/>
          <w:color w:val="222222"/>
          <w:kern w:val="0"/>
          <w14:ligatures w14:val="none"/>
        </w:rPr>
      </w:pPr>
      <w:r w:rsidRPr="00754E0D">
        <w:rPr>
          <w:rFonts w:ascii="Arial" w:eastAsia="Times New Roman" w:hAnsi="Arial" w:cs="Arial"/>
          <w:b/>
          <w:bCs/>
          <w:color w:val="222222"/>
          <w:kern w:val="0"/>
          <w14:ligatures w14:val="none"/>
        </w:rPr>
        <w:t>Policies</w:t>
      </w:r>
      <w:r w:rsidRPr="00754E0D">
        <w:rPr>
          <w:rFonts w:ascii="Arial" w:eastAsia="Times New Roman" w:hAnsi="Arial" w:cs="Arial"/>
          <w:color w:val="222222"/>
          <w:kern w:val="0"/>
          <w14:ligatures w14:val="none"/>
        </w:rPr>
        <w:t>—such as </w:t>
      </w:r>
      <w:r w:rsidRPr="00754E0D">
        <w:rPr>
          <w:rFonts w:ascii="Arial" w:eastAsia="Times New Roman" w:hAnsi="Arial" w:cs="Arial"/>
          <w:kern w:val="0"/>
          <w14:ligatures w14:val="none"/>
        </w:rPr>
        <w:t>nondiscrimination and anti-harassment, and </w:t>
      </w:r>
      <w:hyperlink r:id="rId5" w:history="1">
        <w:r w:rsidRPr="00754E0D">
          <w:rPr>
            <w:rFonts w:ascii="Arial" w:eastAsia="Times New Roman" w:hAnsi="Arial" w:cs="Arial"/>
            <w:kern w:val="0"/>
            <w14:ligatures w14:val="none"/>
          </w:rPr>
          <w:t>dress code</w:t>
        </w:r>
      </w:hyperlink>
      <w:r w:rsidRPr="00754E0D">
        <w:rPr>
          <w:rFonts w:ascii="Arial" w:eastAsia="Times New Roman" w:hAnsi="Arial" w:cs="Arial"/>
          <w:color w:val="222222"/>
          <w:kern w:val="0"/>
          <w14:ligatures w14:val="none"/>
        </w:rPr>
        <w:t> and grooming policies that are not already gender-neutral.</w:t>
      </w:r>
    </w:p>
    <w:p w14:paraId="2EB1F93D" w14:textId="77777777" w:rsidR="00754E0D" w:rsidRPr="00754E0D" w:rsidRDefault="00754E0D" w:rsidP="00754E0D">
      <w:pPr>
        <w:numPr>
          <w:ilvl w:val="0"/>
          <w:numId w:val="1"/>
        </w:numPr>
        <w:shd w:val="clear" w:color="auto" w:fill="FFFFFF"/>
        <w:spacing w:before="100" w:beforeAutospacing="1" w:after="120" w:line="240" w:lineRule="auto"/>
        <w:rPr>
          <w:rFonts w:ascii="Arial" w:eastAsia="Times New Roman" w:hAnsi="Arial" w:cs="Arial"/>
          <w:color w:val="222222"/>
          <w:kern w:val="0"/>
          <w14:ligatures w14:val="none"/>
        </w:rPr>
      </w:pPr>
      <w:r w:rsidRPr="00754E0D">
        <w:rPr>
          <w:rFonts w:ascii="Arial" w:eastAsia="Times New Roman" w:hAnsi="Arial" w:cs="Arial"/>
          <w:b/>
          <w:bCs/>
          <w:color w:val="222222"/>
          <w:kern w:val="0"/>
          <w14:ligatures w14:val="none"/>
        </w:rPr>
        <w:t>Employee training</w:t>
      </w:r>
      <w:r w:rsidRPr="00754E0D">
        <w:rPr>
          <w:rFonts w:ascii="Arial" w:eastAsia="Times New Roman" w:hAnsi="Arial" w:cs="Arial"/>
          <w:color w:val="222222"/>
          <w:kern w:val="0"/>
          <w14:ligatures w14:val="none"/>
        </w:rPr>
        <w:t>—any diversity, equal opportunity or workplace conduct training such as anti-harassment or bullying and anti-discrimination.</w:t>
      </w:r>
    </w:p>
    <w:p w14:paraId="7CB35AF2" w14:textId="77777777" w:rsidR="00754E0D" w:rsidRPr="00754E0D" w:rsidRDefault="00754E0D" w:rsidP="00754E0D">
      <w:pPr>
        <w:shd w:val="clear" w:color="auto" w:fill="FFFFFF"/>
        <w:spacing w:after="100" w:afterAutospacing="1" w:line="480" w:lineRule="atLeast"/>
        <w:outlineLvl w:val="2"/>
        <w:rPr>
          <w:rFonts w:ascii="Arial" w:eastAsia="Times New Roman" w:hAnsi="Arial" w:cs="Arial"/>
          <w:b/>
          <w:bCs/>
          <w:color w:val="222222"/>
          <w:kern w:val="0"/>
          <w14:ligatures w14:val="none"/>
        </w:rPr>
      </w:pPr>
      <w:r w:rsidRPr="00754E0D">
        <w:rPr>
          <w:rFonts w:ascii="Arial" w:eastAsia="Times New Roman" w:hAnsi="Arial" w:cs="Arial"/>
          <w:b/>
          <w:bCs/>
          <w:color w:val="222222"/>
          <w:kern w:val="0"/>
          <w14:ligatures w14:val="none"/>
        </w:rPr>
        <w:t>Review</w:t>
      </w:r>
    </w:p>
    <w:p w14:paraId="07B4E230" w14:textId="77777777" w:rsidR="00754E0D" w:rsidRPr="00754E0D" w:rsidRDefault="00754E0D" w:rsidP="00754E0D">
      <w:pPr>
        <w:shd w:val="clear" w:color="auto" w:fill="FFFFFF"/>
        <w:spacing w:after="240" w:line="240" w:lineRule="auto"/>
        <w:rPr>
          <w:rFonts w:ascii="Arial" w:eastAsia="Times New Roman" w:hAnsi="Arial" w:cs="Arial"/>
          <w:color w:val="222222"/>
          <w:kern w:val="0"/>
          <w14:ligatures w14:val="none"/>
        </w:rPr>
      </w:pPr>
      <w:r w:rsidRPr="00754E0D">
        <w:rPr>
          <w:rFonts w:ascii="Arial" w:eastAsia="Times New Roman" w:hAnsi="Arial" w:cs="Arial"/>
          <w:color w:val="222222"/>
          <w:kern w:val="0"/>
          <w14:ligatures w14:val="none"/>
        </w:rPr>
        <w:t>Review additional policies and practices that may discriminate against sexual orientation and gender identify or expression, such as:</w:t>
      </w:r>
    </w:p>
    <w:p w14:paraId="4156110C" w14:textId="77777777" w:rsidR="00754E0D" w:rsidRPr="00754E0D" w:rsidRDefault="00754E0D" w:rsidP="00754E0D">
      <w:pPr>
        <w:numPr>
          <w:ilvl w:val="0"/>
          <w:numId w:val="2"/>
        </w:numPr>
        <w:shd w:val="clear" w:color="auto" w:fill="FFFFFF"/>
        <w:spacing w:before="100" w:beforeAutospacing="1" w:after="120" w:line="240" w:lineRule="auto"/>
        <w:rPr>
          <w:rFonts w:ascii="Arial" w:eastAsia="Times New Roman" w:hAnsi="Arial" w:cs="Arial"/>
          <w:color w:val="222222"/>
          <w:kern w:val="0"/>
          <w14:ligatures w14:val="none"/>
        </w:rPr>
      </w:pPr>
      <w:r w:rsidRPr="00754E0D">
        <w:rPr>
          <w:rFonts w:ascii="Arial" w:eastAsia="Times New Roman" w:hAnsi="Arial" w:cs="Arial"/>
          <w:b/>
          <w:bCs/>
          <w:color w:val="222222"/>
          <w:kern w:val="0"/>
          <w14:ligatures w14:val="none"/>
        </w:rPr>
        <w:t>Benefits</w:t>
      </w:r>
      <w:r w:rsidRPr="00754E0D">
        <w:rPr>
          <w:rFonts w:ascii="Arial" w:eastAsia="Times New Roman" w:hAnsi="Arial" w:cs="Arial"/>
          <w:color w:val="222222"/>
          <w:kern w:val="0"/>
          <w14:ligatures w14:val="none"/>
        </w:rPr>
        <w:t>—any benefit that discriminates against employees based on these categories that is not already prohibited may soon be unlawful. </w:t>
      </w:r>
    </w:p>
    <w:p w14:paraId="1DD8C963" w14:textId="77777777" w:rsidR="00754E0D" w:rsidRPr="00754E0D" w:rsidRDefault="00754E0D" w:rsidP="00754E0D">
      <w:pPr>
        <w:numPr>
          <w:ilvl w:val="0"/>
          <w:numId w:val="2"/>
        </w:numPr>
        <w:shd w:val="clear" w:color="auto" w:fill="FFFFFF"/>
        <w:spacing w:before="100" w:beforeAutospacing="1" w:after="120" w:line="240" w:lineRule="auto"/>
        <w:rPr>
          <w:rFonts w:ascii="Arial" w:eastAsia="Times New Roman" w:hAnsi="Arial" w:cs="Arial"/>
          <w:color w:val="222222"/>
          <w:kern w:val="0"/>
          <w14:ligatures w14:val="none"/>
        </w:rPr>
      </w:pPr>
      <w:r w:rsidRPr="00754E0D">
        <w:rPr>
          <w:rFonts w:ascii="Arial" w:eastAsia="Times New Roman" w:hAnsi="Arial" w:cs="Arial"/>
          <w:b/>
          <w:bCs/>
          <w:color w:val="222222"/>
          <w:kern w:val="0"/>
          <w14:ligatures w14:val="none"/>
        </w:rPr>
        <w:t>Hiring practices</w:t>
      </w:r>
      <w:r w:rsidRPr="00754E0D">
        <w:rPr>
          <w:rFonts w:ascii="Arial" w:eastAsia="Times New Roman" w:hAnsi="Arial" w:cs="Arial"/>
          <w:color w:val="222222"/>
          <w:kern w:val="0"/>
          <w14:ligatures w14:val="none"/>
        </w:rPr>
        <w:t>—background checks and reference checks may necessitate applicants divulge prior names that will expose them to potential employers as transgender. Ensure this information is kept confidential and not used against applicants.</w:t>
      </w:r>
    </w:p>
    <w:p w14:paraId="20B28E25" w14:textId="77777777" w:rsidR="00754E0D" w:rsidRPr="00754E0D" w:rsidRDefault="00754E0D" w:rsidP="00754E0D">
      <w:pPr>
        <w:numPr>
          <w:ilvl w:val="0"/>
          <w:numId w:val="2"/>
        </w:numPr>
        <w:shd w:val="clear" w:color="auto" w:fill="FFFFFF"/>
        <w:spacing w:before="100" w:beforeAutospacing="1" w:after="120" w:line="240" w:lineRule="auto"/>
        <w:rPr>
          <w:rFonts w:ascii="Arial" w:eastAsia="Times New Roman" w:hAnsi="Arial" w:cs="Arial"/>
          <w:color w:val="222222"/>
          <w:kern w:val="0"/>
          <w14:ligatures w14:val="none"/>
        </w:rPr>
      </w:pPr>
      <w:r w:rsidRPr="00754E0D">
        <w:rPr>
          <w:rFonts w:ascii="Arial" w:eastAsia="Times New Roman" w:hAnsi="Arial" w:cs="Arial"/>
          <w:b/>
          <w:bCs/>
          <w:color w:val="222222"/>
          <w:kern w:val="0"/>
          <w14:ligatures w14:val="none"/>
        </w:rPr>
        <w:t>Workplace rules</w:t>
      </w:r>
      <w:r w:rsidRPr="00754E0D">
        <w:rPr>
          <w:rFonts w:ascii="Arial" w:eastAsia="Times New Roman" w:hAnsi="Arial" w:cs="Arial"/>
          <w:color w:val="222222"/>
          <w:kern w:val="0"/>
          <w14:ligatures w14:val="none"/>
        </w:rPr>
        <w:t>—any rules based on gender, such as bathroom use, may need to be revised to allow for gender-neutral or gender identity-based practices.</w:t>
      </w:r>
    </w:p>
    <w:p w14:paraId="7D03D73D" w14:textId="77777777" w:rsidR="00754E0D" w:rsidRPr="00754E0D" w:rsidRDefault="00754E0D" w:rsidP="00754E0D">
      <w:pPr>
        <w:numPr>
          <w:ilvl w:val="0"/>
          <w:numId w:val="2"/>
        </w:numPr>
        <w:shd w:val="clear" w:color="auto" w:fill="FFFFFF"/>
        <w:spacing w:before="100" w:beforeAutospacing="1" w:after="120" w:line="240" w:lineRule="auto"/>
        <w:rPr>
          <w:rFonts w:ascii="Arial" w:eastAsia="Times New Roman" w:hAnsi="Arial" w:cs="Arial"/>
          <w:color w:val="222222"/>
          <w:kern w:val="0"/>
          <w14:ligatures w14:val="none"/>
        </w:rPr>
      </w:pPr>
      <w:r w:rsidRPr="00754E0D">
        <w:rPr>
          <w:rFonts w:ascii="Arial" w:eastAsia="Times New Roman" w:hAnsi="Arial" w:cs="Arial"/>
          <w:b/>
          <w:bCs/>
          <w:color w:val="222222"/>
          <w:kern w:val="0"/>
          <w14:ligatures w14:val="none"/>
        </w:rPr>
        <w:lastRenderedPageBreak/>
        <w:t>Internal communications</w:t>
      </w:r>
      <w:r w:rsidRPr="00754E0D">
        <w:rPr>
          <w:rFonts w:ascii="Arial" w:eastAsia="Times New Roman" w:hAnsi="Arial" w:cs="Arial"/>
          <w:color w:val="222222"/>
          <w:kern w:val="0"/>
          <w14:ligatures w14:val="none"/>
        </w:rPr>
        <w:t>—eliminate wording that assumes traditional gender roles and heterosexual relationships and families as the norm.</w:t>
      </w:r>
    </w:p>
    <w:p w14:paraId="17652909" w14:textId="77777777" w:rsidR="00754E0D" w:rsidRPr="00754E0D" w:rsidRDefault="00754E0D" w:rsidP="00754E0D">
      <w:pPr>
        <w:shd w:val="clear" w:color="auto" w:fill="FFFFFF"/>
        <w:spacing w:after="100" w:afterAutospacing="1" w:line="480" w:lineRule="atLeast"/>
        <w:outlineLvl w:val="2"/>
        <w:rPr>
          <w:rFonts w:ascii="Arial" w:eastAsia="Times New Roman" w:hAnsi="Arial" w:cs="Arial"/>
          <w:b/>
          <w:bCs/>
          <w:color w:val="222222"/>
          <w:kern w:val="0"/>
          <w14:ligatures w14:val="none"/>
        </w:rPr>
      </w:pPr>
      <w:r w:rsidRPr="00754E0D">
        <w:rPr>
          <w:rFonts w:ascii="Arial" w:eastAsia="Times New Roman" w:hAnsi="Arial" w:cs="Arial"/>
          <w:b/>
          <w:bCs/>
          <w:color w:val="222222"/>
          <w:kern w:val="0"/>
          <w14:ligatures w14:val="none"/>
        </w:rPr>
        <w:t>Invest</w:t>
      </w:r>
    </w:p>
    <w:p w14:paraId="1EE40B13" w14:textId="77777777" w:rsidR="00754E0D" w:rsidRPr="00754E0D" w:rsidRDefault="00754E0D" w:rsidP="00754E0D">
      <w:pPr>
        <w:shd w:val="clear" w:color="auto" w:fill="FFFFFF"/>
        <w:spacing w:after="240" w:line="240" w:lineRule="auto"/>
        <w:rPr>
          <w:rFonts w:ascii="Arial" w:eastAsia="Times New Roman" w:hAnsi="Arial" w:cs="Arial"/>
          <w:color w:val="222222"/>
          <w:kern w:val="0"/>
          <w14:ligatures w14:val="none"/>
        </w:rPr>
      </w:pPr>
      <w:r w:rsidRPr="00754E0D">
        <w:rPr>
          <w:rFonts w:ascii="Arial" w:eastAsia="Times New Roman" w:hAnsi="Arial" w:cs="Arial"/>
          <w:color w:val="222222"/>
          <w:kern w:val="0"/>
          <w14:ligatures w14:val="none"/>
        </w:rPr>
        <w:t>Investing in practices to ensure equality in the workplace may not only keep an employer out of court but can positively impact the bottom line.</w:t>
      </w:r>
    </w:p>
    <w:p w14:paraId="2D899259" w14:textId="77777777" w:rsidR="00754E0D" w:rsidRPr="00754E0D" w:rsidRDefault="00754E0D" w:rsidP="00754E0D">
      <w:pPr>
        <w:numPr>
          <w:ilvl w:val="0"/>
          <w:numId w:val="3"/>
        </w:numPr>
        <w:shd w:val="clear" w:color="auto" w:fill="FFFFFF"/>
        <w:spacing w:before="100" w:beforeAutospacing="1" w:after="120" w:line="240" w:lineRule="auto"/>
        <w:rPr>
          <w:rFonts w:ascii="Arial" w:eastAsia="Times New Roman" w:hAnsi="Arial" w:cs="Arial"/>
          <w:color w:val="222222"/>
          <w:kern w:val="0"/>
          <w14:ligatures w14:val="none"/>
        </w:rPr>
      </w:pPr>
      <w:r w:rsidRPr="00754E0D">
        <w:rPr>
          <w:rFonts w:ascii="Arial" w:eastAsia="Times New Roman" w:hAnsi="Arial" w:cs="Arial"/>
          <w:b/>
          <w:bCs/>
          <w:color w:val="222222"/>
          <w:kern w:val="0"/>
          <w14:ligatures w14:val="none"/>
        </w:rPr>
        <w:t>Support diversity and inclusion initiatives</w:t>
      </w:r>
      <w:r w:rsidRPr="00754E0D">
        <w:rPr>
          <w:rFonts w:ascii="Arial" w:eastAsia="Times New Roman" w:hAnsi="Arial" w:cs="Arial"/>
          <w:color w:val="222222"/>
          <w:kern w:val="0"/>
          <w14:ligatures w14:val="none"/>
        </w:rPr>
        <w:t> that not only reduce bias but create a safe place for LGBTQ+ individuals to be their authentic selves and do their best work.</w:t>
      </w:r>
    </w:p>
    <w:p w14:paraId="11C02DE3" w14:textId="77777777" w:rsidR="00754E0D" w:rsidRPr="00754E0D" w:rsidRDefault="00754E0D" w:rsidP="00754E0D">
      <w:pPr>
        <w:numPr>
          <w:ilvl w:val="0"/>
          <w:numId w:val="3"/>
        </w:numPr>
        <w:shd w:val="clear" w:color="auto" w:fill="FFFFFF"/>
        <w:spacing w:before="100" w:beforeAutospacing="1" w:after="120" w:line="240" w:lineRule="auto"/>
        <w:rPr>
          <w:rFonts w:ascii="Arial" w:eastAsia="Times New Roman" w:hAnsi="Arial" w:cs="Arial"/>
          <w:color w:val="222222"/>
          <w:kern w:val="0"/>
          <w14:ligatures w14:val="none"/>
        </w:rPr>
      </w:pPr>
      <w:r w:rsidRPr="00754E0D">
        <w:rPr>
          <w:rFonts w:ascii="Arial" w:eastAsia="Times New Roman" w:hAnsi="Arial" w:cs="Arial"/>
          <w:b/>
          <w:bCs/>
          <w:color w:val="222222"/>
          <w:kern w:val="0"/>
          <w14:ligatures w14:val="none"/>
        </w:rPr>
        <w:t>Educate all employees</w:t>
      </w:r>
      <w:r w:rsidRPr="00754E0D">
        <w:rPr>
          <w:rFonts w:ascii="Arial" w:eastAsia="Times New Roman" w:hAnsi="Arial" w:cs="Arial"/>
          <w:color w:val="222222"/>
          <w:kern w:val="0"/>
          <w14:ligatures w14:val="none"/>
        </w:rPr>
        <w:t> about what gender identity and expression means and how this population has experienced discrimination.</w:t>
      </w:r>
    </w:p>
    <w:p w14:paraId="14AD10DE" w14:textId="77777777" w:rsidR="00754E0D" w:rsidRPr="00754E0D" w:rsidRDefault="00754E0D" w:rsidP="00754E0D">
      <w:pPr>
        <w:numPr>
          <w:ilvl w:val="0"/>
          <w:numId w:val="3"/>
        </w:numPr>
        <w:shd w:val="clear" w:color="auto" w:fill="FFFFFF"/>
        <w:spacing w:before="100" w:beforeAutospacing="1" w:after="120" w:line="240" w:lineRule="auto"/>
        <w:rPr>
          <w:rFonts w:ascii="Arial" w:eastAsia="Times New Roman" w:hAnsi="Arial" w:cs="Arial"/>
          <w:color w:val="222222"/>
          <w:kern w:val="0"/>
          <w14:ligatures w14:val="none"/>
        </w:rPr>
      </w:pPr>
      <w:r w:rsidRPr="00754E0D">
        <w:rPr>
          <w:rFonts w:ascii="Arial" w:eastAsia="Times New Roman" w:hAnsi="Arial" w:cs="Arial"/>
          <w:b/>
          <w:bCs/>
          <w:color w:val="222222"/>
          <w:kern w:val="0"/>
          <w14:ligatures w14:val="none"/>
        </w:rPr>
        <w:t>Prepare for disruptions</w:t>
      </w:r>
      <w:r w:rsidRPr="00754E0D">
        <w:rPr>
          <w:rFonts w:ascii="Arial" w:eastAsia="Times New Roman" w:hAnsi="Arial" w:cs="Arial"/>
          <w:color w:val="222222"/>
          <w:kern w:val="0"/>
          <w14:ligatures w14:val="none"/>
        </w:rPr>
        <w:t> based on opposing views (often religious-based) by underlining that workplace equality has no expectation of changing an individual's mind or beliefs but does have an unequivocal expectation of inclusion and respect at work.</w:t>
      </w:r>
    </w:p>
    <w:p w14:paraId="4E6CDF5A" w14:textId="77777777" w:rsidR="00754E0D" w:rsidRPr="00754E0D" w:rsidRDefault="00754E0D" w:rsidP="00754E0D">
      <w:pPr>
        <w:numPr>
          <w:ilvl w:val="0"/>
          <w:numId w:val="3"/>
        </w:numPr>
        <w:shd w:val="clear" w:color="auto" w:fill="FFFFFF"/>
        <w:spacing w:before="100" w:beforeAutospacing="1" w:after="120" w:line="240" w:lineRule="auto"/>
        <w:rPr>
          <w:rFonts w:ascii="Arial" w:eastAsia="Times New Roman" w:hAnsi="Arial" w:cs="Arial"/>
          <w:color w:val="222222"/>
          <w:kern w:val="0"/>
          <w14:ligatures w14:val="none"/>
        </w:rPr>
      </w:pPr>
      <w:r w:rsidRPr="00754E0D">
        <w:rPr>
          <w:rFonts w:ascii="Arial" w:eastAsia="Times New Roman" w:hAnsi="Arial" w:cs="Arial"/>
          <w:b/>
          <w:bCs/>
          <w:color w:val="222222"/>
          <w:kern w:val="0"/>
          <w14:ligatures w14:val="none"/>
        </w:rPr>
        <w:t>Track both successes and areas for improvement</w:t>
      </w:r>
      <w:r w:rsidRPr="00754E0D">
        <w:rPr>
          <w:rFonts w:ascii="Arial" w:eastAsia="Times New Roman" w:hAnsi="Arial" w:cs="Arial"/>
          <w:color w:val="222222"/>
          <w:kern w:val="0"/>
          <w14:ligatures w14:val="none"/>
        </w:rPr>
        <w:t> through meaningful metrics such as employee surveys, exit interviews, employee grievances and discrimination claims.</w:t>
      </w:r>
    </w:p>
    <w:p w14:paraId="70914DAC" w14:textId="77777777" w:rsidR="00E17AFC" w:rsidRPr="00754E0D" w:rsidRDefault="00E17AFC"/>
    <w:sectPr w:rsidR="00E17AFC" w:rsidRPr="00754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roximaNova">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375AE9"/>
    <w:multiLevelType w:val="multilevel"/>
    <w:tmpl w:val="C45ED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C055F8"/>
    <w:multiLevelType w:val="multilevel"/>
    <w:tmpl w:val="B350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D245B2"/>
    <w:multiLevelType w:val="multilevel"/>
    <w:tmpl w:val="0560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1639650">
    <w:abstractNumId w:val="2"/>
  </w:num>
  <w:num w:numId="2" w16cid:durableId="1467815969">
    <w:abstractNumId w:val="0"/>
  </w:num>
  <w:num w:numId="3" w16cid:durableId="838933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E0D"/>
    <w:rsid w:val="003458CE"/>
    <w:rsid w:val="0043238B"/>
    <w:rsid w:val="00754E0D"/>
    <w:rsid w:val="007A0BA1"/>
    <w:rsid w:val="00E1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42D0"/>
  <w15:chartTrackingRefBased/>
  <w15:docId w15:val="{5C530345-0CF3-4AE0-B9CC-94A7ED40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E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E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4E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4E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E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E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E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E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E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E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E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E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E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E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E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E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E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E0D"/>
    <w:rPr>
      <w:rFonts w:eastAsiaTheme="majorEastAsia" w:cstheme="majorBidi"/>
      <w:color w:val="272727" w:themeColor="text1" w:themeTint="D8"/>
    </w:rPr>
  </w:style>
  <w:style w:type="paragraph" w:styleId="Title">
    <w:name w:val="Title"/>
    <w:basedOn w:val="Normal"/>
    <w:next w:val="Normal"/>
    <w:link w:val="TitleChar"/>
    <w:uiPriority w:val="10"/>
    <w:qFormat/>
    <w:rsid w:val="00754E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E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E0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E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E0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4E0D"/>
    <w:rPr>
      <w:i/>
      <w:iCs/>
      <w:color w:val="404040" w:themeColor="text1" w:themeTint="BF"/>
    </w:rPr>
  </w:style>
  <w:style w:type="paragraph" w:styleId="ListParagraph">
    <w:name w:val="List Paragraph"/>
    <w:basedOn w:val="Normal"/>
    <w:uiPriority w:val="34"/>
    <w:qFormat/>
    <w:rsid w:val="00754E0D"/>
    <w:pPr>
      <w:ind w:left="720"/>
      <w:contextualSpacing/>
    </w:pPr>
  </w:style>
  <w:style w:type="character" w:styleId="IntenseEmphasis">
    <w:name w:val="Intense Emphasis"/>
    <w:basedOn w:val="DefaultParagraphFont"/>
    <w:uiPriority w:val="21"/>
    <w:qFormat/>
    <w:rsid w:val="00754E0D"/>
    <w:rPr>
      <w:i/>
      <w:iCs/>
      <w:color w:val="0F4761" w:themeColor="accent1" w:themeShade="BF"/>
    </w:rPr>
  </w:style>
  <w:style w:type="paragraph" w:styleId="IntenseQuote">
    <w:name w:val="Intense Quote"/>
    <w:basedOn w:val="Normal"/>
    <w:next w:val="Normal"/>
    <w:link w:val="IntenseQuoteChar"/>
    <w:uiPriority w:val="30"/>
    <w:qFormat/>
    <w:rsid w:val="00754E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E0D"/>
    <w:rPr>
      <w:i/>
      <w:iCs/>
      <w:color w:val="0F4761" w:themeColor="accent1" w:themeShade="BF"/>
    </w:rPr>
  </w:style>
  <w:style w:type="character" w:styleId="IntenseReference">
    <w:name w:val="Intense Reference"/>
    <w:basedOn w:val="DefaultParagraphFont"/>
    <w:uiPriority w:val="32"/>
    <w:qFormat/>
    <w:rsid w:val="00754E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937822">
      <w:bodyDiv w:val="1"/>
      <w:marLeft w:val="0"/>
      <w:marRight w:val="0"/>
      <w:marTop w:val="0"/>
      <w:marBottom w:val="0"/>
      <w:divBdr>
        <w:top w:val="none" w:sz="0" w:space="0" w:color="auto"/>
        <w:left w:val="none" w:sz="0" w:space="0" w:color="auto"/>
        <w:bottom w:val="none" w:sz="0" w:space="0" w:color="auto"/>
        <w:right w:val="none" w:sz="0" w:space="0" w:color="auto"/>
      </w:divBdr>
    </w:div>
    <w:div w:id="740758892">
      <w:bodyDiv w:val="1"/>
      <w:marLeft w:val="0"/>
      <w:marRight w:val="0"/>
      <w:marTop w:val="0"/>
      <w:marBottom w:val="0"/>
      <w:divBdr>
        <w:top w:val="none" w:sz="0" w:space="0" w:color="auto"/>
        <w:left w:val="none" w:sz="0" w:space="0" w:color="auto"/>
        <w:bottom w:val="none" w:sz="0" w:space="0" w:color="auto"/>
        <w:right w:val="none" w:sz="0" w:space="0" w:color="auto"/>
      </w:divBdr>
    </w:div>
    <w:div w:id="110450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hrm.org/topics-tools/tools/policies/business-attire-dress-code-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346</Words>
  <Characters>2901</Characters>
  <Application>Microsoft Office Word</Application>
  <DocSecurity>0</DocSecurity>
  <Lines>111</Lines>
  <Paragraphs>101</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Anderson</dc:creator>
  <cp:keywords/>
  <dc:description/>
  <cp:lastModifiedBy>Todd Anderson</cp:lastModifiedBy>
  <cp:revision>1</cp:revision>
  <dcterms:created xsi:type="dcterms:W3CDTF">2024-08-19T19:58:00Z</dcterms:created>
  <dcterms:modified xsi:type="dcterms:W3CDTF">2024-08-19T20:07:00Z</dcterms:modified>
</cp:coreProperties>
</file>